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12"/>
      </w:tblGrid>
      <w:tr w:rsidR="001C5F27" w:rsidTr="001C5F27">
        <w:tc>
          <w:tcPr>
            <w:tcW w:w="9212" w:type="dxa"/>
          </w:tcPr>
          <w:p w:rsidR="001C5F27" w:rsidRPr="001C5F27" w:rsidRDefault="001C5F27" w:rsidP="001C5F27">
            <w:pPr>
              <w:pStyle w:val="nor1"/>
              <w:spacing w:before="0" w:beforeAutospacing="0" w:after="0" w:afterAutospacing="0"/>
              <w:ind w:firstLine="426"/>
              <w:jc w:val="both"/>
              <w:rPr>
                <w:b/>
              </w:rPr>
            </w:pPr>
            <w:r w:rsidRPr="001C5F27">
              <w:rPr>
                <w:b/>
              </w:rPr>
              <w:t xml:space="preserve">ÖZET: Refakat iznine esas teşkil eden sağlık kurulu raporunun yurtdışından alınması durumunda yapılacak işlem </w:t>
            </w:r>
            <w:proofErr w:type="spellStart"/>
            <w:r w:rsidRPr="001C5F27">
              <w:rPr>
                <w:b/>
              </w:rPr>
              <w:t>hk</w:t>
            </w:r>
            <w:proofErr w:type="spellEnd"/>
            <w:r w:rsidRPr="001C5F27">
              <w:rPr>
                <w:b/>
              </w:rPr>
              <w:t>. (</w:t>
            </w:r>
            <w:proofErr w:type="gramStart"/>
            <w:r w:rsidRPr="001C5F27">
              <w:rPr>
                <w:b/>
              </w:rPr>
              <w:t>25/07/2012</w:t>
            </w:r>
            <w:proofErr w:type="gramEnd"/>
            <w:r w:rsidRPr="001C5F27">
              <w:rPr>
                <w:b/>
              </w:rPr>
              <w:t>-12950)</w:t>
            </w:r>
          </w:p>
          <w:p w:rsidR="001C5F27" w:rsidRPr="001C5F27" w:rsidRDefault="001C5F27" w:rsidP="001C5F27">
            <w:pPr>
              <w:pStyle w:val="nor1"/>
              <w:spacing w:before="0" w:beforeAutospacing="0" w:after="0" w:afterAutospacing="0"/>
              <w:ind w:firstLine="426"/>
              <w:jc w:val="both"/>
              <w:rPr>
                <w:b/>
              </w:rPr>
            </w:pPr>
          </w:p>
          <w:p w:rsidR="001C5F27" w:rsidRDefault="001C5F27" w:rsidP="001C5F27">
            <w:pPr>
              <w:pStyle w:val="nor1"/>
              <w:spacing w:before="0" w:beforeAutospacing="0" w:after="0" w:afterAutospacing="0"/>
              <w:jc w:val="both"/>
              <w:rPr>
                <w:b/>
              </w:rPr>
            </w:pPr>
          </w:p>
        </w:tc>
      </w:tr>
      <w:tr w:rsidR="001C5F27" w:rsidTr="001C5F27">
        <w:tc>
          <w:tcPr>
            <w:tcW w:w="9212" w:type="dxa"/>
          </w:tcPr>
          <w:p w:rsidR="001C5F27" w:rsidRPr="001C5F27" w:rsidRDefault="001C5F27" w:rsidP="001C5F27">
            <w:pPr>
              <w:pStyle w:val="nor1"/>
              <w:spacing w:before="0" w:beforeAutospacing="0" w:after="0" w:afterAutospacing="0"/>
              <w:ind w:firstLine="426"/>
              <w:jc w:val="both"/>
            </w:pPr>
            <w:r w:rsidRPr="001C5F27">
              <w:t xml:space="preserve">Başkanlığınızda Devlet memuru olarak görev yapan …”un, Almanya”da yaşayan babası …”un hastalığına ilişkin alınmış rapora dayanarak 657 sayılı Devlet Memurları Kanununun 105 inci maddesinin son fıkrasına istinaden refakat izni talep ettiğini belirterek, söz konusu rapora dayanarak ilgiliye refakat izni verilip verilmeyeceği hususunda görüş talep eden ilgi yazı incelenmiştir. </w:t>
            </w:r>
          </w:p>
          <w:p w:rsidR="001C5F27" w:rsidRPr="001C5F27" w:rsidRDefault="001C5F27" w:rsidP="001C5F27">
            <w:pPr>
              <w:ind w:firstLine="426"/>
              <w:jc w:val="both"/>
              <w:rPr>
                <w:rFonts w:ascii="Times New Roman" w:hAnsi="Times New Roman"/>
                <w:sz w:val="24"/>
                <w:szCs w:val="24"/>
              </w:rPr>
            </w:pPr>
            <w:proofErr w:type="gramStart"/>
            <w:r w:rsidRPr="001C5F27">
              <w:rPr>
                <w:rFonts w:ascii="Times New Roman" w:hAnsi="Times New Roman"/>
                <w:sz w:val="24"/>
                <w:szCs w:val="24"/>
              </w:rPr>
              <w:t xml:space="preserve">Bilindiği üzere, 657 sayılı Devlet Memurları Kanununun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w:t>
            </w:r>
            <w:proofErr w:type="gramEnd"/>
            <w:r w:rsidRPr="001C5F27">
              <w:rPr>
                <w:rFonts w:ascii="Times New Roman" w:hAnsi="Times New Roman"/>
                <w:sz w:val="24"/>
                <w:szCs w:val="24"/>
              </w:rPr>
              <w:t xml:space="preserve">Gerektiğinde bu süre bir katına kadar uzatılır.” hükmü, </w:t>
            </w:r>
            <w:proofErr w:type="gramStart"/>
            <w:r w:rsidRPr="001C5F27">
              <w:rPr>
                <w:rFonts w:ascii="Times New Roman" w:hAnsi="Times New Roman"/>
                <w:sz w:val="24"/>
                <w:szCs w:val="24"/>
              </w:rPr>
              <w:t>29/10/2011</w:t>
            </w:r>
            <w:proofErr w:type="gramEnd"/>
            <w:r w:rsidRPr="001C5F27">
              <w:rPr>
                <w:rFonts w:ascii="Times New Roman" w:hAnsi="Times New Roman"/>
                <w:sz w:val="24"/>
                <w:szCs w:val="24"/>
              </w:rPr>
              <w:t xml:space="preserve"> tarihli ve 28099 sayılı Resmi Gazete’de yayımlanan Devlet Memurlarına Verilecek Hastalık Raporları ile Hastalık ve Refakat İznine İlişkin Usul ve Esaslar Hakkında </w:t>
            </w:r>
            <w:proofErr w:type="spellStart"/>
            <w:r w:rsidRPr="001C5F27">
              <w:rPr>
                <w:rFonts w:ascii="Times New Roman" w:hAnsi="Times New Roman"/>
                <w:sz w:val="24"/>
                <w:szCs w:val="24"/>
              </w:rPr>
              <w:t>Yönetmelik’in</w:t>
            </w:r>
            <w:proofErr w:type="spellEnd"/>
            <w:r w:rsidRPr="001C5F27">
              <w:rPr>
                <w:rFonts w:ascii="Times New Roman" w:hAnsi="Times New Roman"/>
                <w:sz w:val="24"/>
                <w:szCs w:val="24"/>
              </w:rPr>
              <w:t xml:space="preserve"> “Refakat iznine ilişkin esaslar” başlıklı 10 uncu maddesinde ise, “</w:t>
            </w:r>
            <w:r w:rsidRPr="001C5F27">
              <w:rPr>
                <w:rStyle w:val="fontstyle14"/>
                <w:rFonts w:ascii="Times New Roman" w:hAnsi="Times New Roman"/>
                <w:sz w:val="24"/>
                <w:szCs w:val="24"/>
              </w:rPr>
              <w:t>1) Memurlara 657 sayılı Kanunun 105 inci maddesinin son fıkrası uyarınca izin verilebilmesi için memurun;</w:t>
            </w:r>
          </w:p>
          <w:p w:rsidR="001C5F27" w:rsidRPr="001C5F27" w:rsidRDefault="001C5F27" w:rsidP="001C5F27">
            <w:pPr>
              <w:pStyle w:val="style6"/>
              <w:spacing w:before="0" w:beforeAutospacing="0" w:after="0" w:afterAutospacing="0"/>
              <w:ind w:firstLine="426"/>
              <w:jc w:val="both"/>
            </w:pPr>
            <w:r w:rsidRPr="001C5F27">
              <w:rPr>
                <w:rStyle w:val="fontstyle14"/>
              </w:rPr>
              <w:t>a) Bakmakla yükümlü olduğu ana, baba, eş ve çocuklarından birinin,</w:t>
            </w:r>
          </w:p>
          <w:p w:rsidR="001C5F27" w:rsidRPr="001C5F27" w:rsidRDefault="001C5F27" w:rsidP="001C5F27">
            <w:pPr>
              <w:pStyle w:val="style6"/>
              <w:spacing w:before="0" w:beforeAutospacing="0" w:after="0" w:afterAutospacing="0"/>
              <w:ind w:firstLine="426"/>
              <w:jc w:val="both"/>
            </w:pPr>
            <w:r w:rsidRPr="001C5F27">
              <w:rPr>
                <w:rStyle w:val="fontstyle14"/>
              </w:rPr>
              <w:t>b) Bakmakla yükümlü olmamakla birlikte refakat edilmediği takdirde hayatı tehlikeye girecek ana, baba, eş ve çocuklarıyla kardeşlerinden birinin,</w:t>
            </w:r>
          </w:p>
          <w:p w:rsidR="001C5F27" w:rsidRPr="001C5F27" w:rsidRDefault="001C5F27" w:rsidP="001C5F27">
            <w:pPr>
              <w:pStyle w:val="style4"/>
              <w:spacing w:before="0" w:beforeAutospacing="0" w:after="0" w:afterAutospacing="0"/>
              <w:ind w:firstLine="426"/>
              <w:jc w:val="both"/>
            </w:pPr>
            <w:proofErr w:type="gramStart"/>
            <w:r w:rsidRPr="001C5F27">
              <w:rPr>
                <w:rStyle w:val="fontstyle14"/>
              </w:rPr>
              <w:t>ağır</w:t>
            </w:r>
            <w:proofErr w:type="gramEnd"/>
            <w:r w:rsidRPr="001C5F27">
              <w:rPr>
                <w:rStyle w:val="fontstyle14"/>
              </w:rPr>
              <w:t xml:space="preserve"> bir kaza geçirdiğinin veya tedavisi uzun süren bir hastalığı bulunduğunun sağlık kurulu raporuyla belgelendirilmesi zorunludur.</w:t>
            </w:r>
          </w:p>
          <w:p w:rsidR="001C5F27" w:rsidRPr="001C5F27" w:rsidRDefault="001C5F27" w:rsidP="001C5F27">
            <w:pPr>
              <w:pStyle w:val="style6"/>
              <w:spacing w:before="0" w:beforeAutospacing="0" w:after="0" w:afterAutospacing="0"/>
              <w:ind w:firstLine="426"/>
              <w:jc w:val="both"/>
            </w:pPr>
            <w:r w:rsidRPr="001C5F27">
              <w:rPr>
                <w:rStyle w:val="fontstyle14"/>
              </w:rPr>
              <w:t>(2) Birinci fıkra çerçevesinde düzenlenecek ve refakat sebebiyle izin 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 yer alır. Gerekli görülmesi hâlinde üç aylık süre aynı koşullarda bir katına kadar uzatılır.</w:t>
            </w:r>
          </w:p>
          <w:p w:rsidR="001C5F27" w:rsidRPr="001C5F27" w:rsidRDefault="001C5F27" w:rsidP="001C5F27">
            <w:pPr>
              <w:pStyle w:val="style6"/>
              <w:spacing w:before="0" w:beforeAutospacing="0" w:after="0" w:afterAutospacing="0"/>
              <w:ind w:firstLine="426"/>
              <w:jc w:val="both"/>
            </w:pPr>
            <w:r w:rsidRPr="001C5F27">
              <w:rPr>
                <w:rStyle w:val="fontstyle14"/>
              </w:rPr>
              <w:t>(3)  Aynı kişiyle ilgili olarak aynı dönemde birden fazla memur refakat izni kullanamaz.</w:t>
            </w:r>
          </w:p>
          <w:p w:rsidR="001C5F27" w:rsidRPr="001C5F27" w:rsidRDefault="001C5F27" w:rsidP="001C5F27">
            <w:pPr>
              <w:pStyle w:val="style6"/>
              <w:spacing w:before="0" w:beforeAutospacing="0" w:after="0" w:afterAutospacing="0"/>
              <w:ind w:firstLine="426"/>
              <w:jc w:val="both"/>
            </w:pPr>
            <w:r w:rsidRPr="001C5F27">
              <w:rPr>
                <w:rStyle w:val="fontstyle14"/>
              </w:rPr>
              <w:t>(4) Aynı kişi ve aynı vakaya dayalı olarak verilecek refakat izninin toplam süresi altı ayı geçemez.</w:t>
            </w:r>
          </w:p>
          <w:p w:rsidR="001C5F27" w:rsidRPr="001C5F27" w:rsidRDefault="001C5F27" w:rsidP="001C5F27">
            <w:pPr>
              <w:pStyle w:val="style6"/>
              <w:spacing w:before="0" w:beforeAutospacing="0" w:after="0" w:afterAutospacing="0"/>
              <w:ind w:firstLine="426"/>
              <w:jc w:val="both"/>
            </w:pPr>
            <w:r w:rsidRPr="001C5F27">
              <w:rPr>
                <w:rStyle w:val="fontstyle14"/>
              </w:rPr>
              <w:t>(5) İzin süresi içinde refakati gerektiren durumun ortadan kalkması hâlinde memur iznin bitmesini beklemeksizin göreve başlar. Bu durumda veya izin süresinin bitiminde, göreve başlamayan memurlar izinsiz ve özürsüz olarak görevlerini terk etmiş sayılarak haklarında 657 sayılı Kanun ve özel kanunların ilgili hükümlerine göre işlem yapılır.</w:t>
            </w:r>
          </w:p>
          <w:p w:rsidR="001C5F27" w:rsidRPr="001C5F27" w:rsidRDefault="001C5F27" w:rsidP="001C5F27">
            <w:pPr>
              <w:pStyle w:val="style6"/>
              <w:spacing w:before="0" w:beforeAutospacing="0" w:after="0" w:afterAutospacing="0"/>
              <w:ind w:firstLine="426"/>
              <w:jc w:val="both"/>
              <w:rPr>
                <w:rStyle w:val="fontstyle14"/>
              </w:rPr>
            </w:pPr>
            <w:r w:rsidRPr="001C5F27">
              <w:rPr>
                <w:rStyle w:val="fontstyle14"/>
              </w:rPr>
              <w:t xml:space="preserve">(6) Refakat izni kullanılırken memurun aylık ve özlük haklan korunur.” hükmü yer almaktadır. </w:t>
            </w:r>
          </w:p>
          <w:p w:rsidR="001C5F27" w:rsidRPr="001C5F27" w:rsidRDefault="001C5F27" w:rsidP="001C5F27">
            <w:pPr>
              <w:pStyle w:val="Style60"/>
              <w:widowControl/>
              <w:tabs>
                <w:tab w:val="left" w:pos="796"/>
              </w:tabs>
              <w:spacing w:line="240" w:lineRule="auto"/>
              <w:ind w:firstLine="426"/>
            </w:pPr>
            <w:r w:rsidRPr="001C5F27">
              <w:t xml:space="preserve">Ayrıca, </w:t>
            </w:r>
            <w:proofErr w:type="gramStart"/>
            <w:r w:rsidRPr="001C5F27">
              <w:t>29/10/2011</w:t>
            </w:r>
            <w:proofErr w:type="gramEnd"/>
            <w:r w:rsidRPr="001C5F27">
              <w:t xml:space="preserve"> tarihli ve 28099 sayılı Resmi Gazete’de yayımlanan Devlet Memurlarına Verilecek Hastalık Raporları ile Hastalık ve Refakat İznine İlişkin Usul ve Esaslar Hakkında </w:t>
            </w:r>
            <w:proofErr w:type="spellStart"/>
            <w:r w:rsidRPr="001C5F27">
              <w:t>Yönetmelik’in</w:t>
            </w:r>
            <w:proofErr w:type="spellEnd"/>
            <w:r w:rsidRPr="001C5F27">
              <w:t xml:space="preserve"> “ Hastalık raporu ve izin süreleri” başlıklı 6 </w:t>
            </w:r>
            <w:proofErr w:type="spellStart"/>
            <w:r w:rsidRPr="001C5F27">
              <w:t>ncı</w:t>
            </w:r>
            <w:proofErr w:type="spellEnd"/>
            <w:r w:rsidRPr="001C5F27">
              <w:t xml:space="preserve"> maddesinin (8) </w:t>
            </w:r>
            <w:proofErr w:type="spellStart"/>
            <w:r w:rsidRPr="001C5F27">
              <w:t>nolu</w:t>
            </w:r>
            <w:proofErr w:type="spellEnd"/>
            <w:r w:rsidRPr="001C5F27">
              <w:t xml:space="preserve"> bendinde; “</w:t>
            </w:r>
            <w:r w:rsidRPr="001C5F27">
              <w:rPr>
                <w:rStyle w:val="FontStyle140"/>
                <w:sz w:val="24"/>
                <w:szCs w:val="24"/>
              </w:rPr>
              <w:t>Yurt dışında tek hekim veya sağlık kurulları, ilgili ülkenin mahallî mevzuatında tespit edilmiş süreler dâhilinde hastalık raporu düzenleyebilirler. Ancak bu şekilde alınan raporlara dayalı olarak birinci fıkradaki süreler dâhilinde hastalık izni verilebilmesi için raporun ve raporda belirtilen sürelerin o ülke mevzuatına uygunluğunun dış temsilciliklerce onaylanması zorunludur.” hükmü yer almaktadır.</w:t>
            </w:r>
          </w:p>
          <w:p w:rsidR="001C5F27" w:rsidRPr="001C5F27" w:rsidRDefault="001C5F27" w:rsidP="001C5F27">
            <w:pPr>
              <w:pStyle w:val="style6"/>
              <w:spacing w:before="0" w:beforeAutospacing="0" w:after="0" w:afterAutospacing="0"/>
              <w:ind w:firstLine="426"/>
              <w:jc w:val="both"/>
            </w:pPr>
            <w:r w:rsidRPr="001C5F27">
              <w:t xml:space="preserve">Bu itibarla, </w:t>
            </w:r>
          </w:p>
          <w:p w:rsidR="001C5F27" w:rsidRPr="001C5F27" w:rsidRDefault="001C5F27" w:rsidP="001C5F27">
            <w:pPr>
              <w:pStyle w:val="style6"/>
              <w:spacing w:before="0" w:beforeAutospacing="0" w:after="0" w:afterAutospacing="0"/>
              <w:ind w:firstLine="426"/>
              <w:jc w:val="both"/>
              <w:rPr>
                <w:rStyle w:val="fontstyle14"/>
              </w:rPr>
            </w:pPr>
            <w:proofErr w:type="gramStart"/>
            <w:r w:rsidRPr="001C5F27">
              <w:t xml:space="preserve">-Devlet Memurlarına Verilecek Hastalık Raporları ile Hastalık ve Refakat İznine İlişkin Usul ve Esaslar Hakkında </w:t>
            </w:r>
            <w:proofErr w:type="spellStart"/>
            <w:r w:rsidRPr="001C5F27">
              <w:t>Yönetmelik’in</w:t>
            </w:r>
            <w:proofErr w:type="spellEnd"/>
            <w:r w:rsidRPr="001C5F27">
              <w:t xml:space="preserve"> 10 uncu maddesine göre, </w:t>
            </w:r>
            <w:r w:rsidRPr="001C5F27">
              <w:rPr>
                <w:rStyle w:val="fontstyle14"/>
              </w:rPr>
              <w:t xml:space="preserve">refakat sebebiyle izin </w:t>
            </w:r>
            <w:r w:rsidRPr="001C5F27">
              <w:rPr>
                <w:rStyle w:val="fontstyle14"/>
              </w:rPr>
              <w:lastRenderedPageBreak/>
              <w:t xml:space="preserve">verilmesine esas teşkil edecek sağlık kurulu raporunda; refakati gerektiren tıbbî sebepler, refakat edilmediği takdirde hayatî tehlike bulunup bulunmadığı, sürekli ve yakın bakım gerekip gerekmediği, üç ayı geçmeyecek şekilde refakat süresi ve varsa refakatçinin sahip olması gereken özel niteliklerin yer alması gerekmekte olup, refakat iznine esas teşkil edecek sağlık kurulu raporunun bahsi geçen hususlardan herhangi birini içermemesi halinde Devlet memuruna refakat izni verilemeyeceği, </w:t>
            </w:r>
            <w:proofErr w:type="gramEnd"/>
          </w:p>
          <w:p w:rsidR="001C5F27" w:rsidRPr="001C5F27" w:rsidRDefault="001C5F27" w:rsidP="001C5F27">
            <w:pPr>
              <w:pStyle w:val="style6"/>
              <w:spacing w:before="0" w:beforeAutospacing="0" w:after="0" w:afterAutospacing="0"/>
              <w:ind w:firstLine="426"/>
              <w:jc w:val="both"/>
              <w:rPr>
                <w:rStyle w:val="fontstyle14"/>
              </w:rPr>
            </w:pPr>
            <w:r w:rsidRPr="001C5F27">
              <w:rPr>
                <w:rStyle w:val="fontstyle14"/>
              </w:rPr>
              <w:t xml:space="preserve">-İlgi yazı ekinde intikal ettirilen ve yurt dışından alınan raporun </w:t>
            </w:r>
            <w:r w:rsidRPr="001C5F27">
              <w:rPr>
                <w:rStyle w:val="FontStyle140"/>
                <w:sz w:val="24"/>
                <w:szCs w:val="24"/>
              </w:rPr>
              <w:t>o ülke mevzuatına uygun olup olmadığı ile ilgili ülke mevzuatında hastalık durumunda sağlık kurulu raporu tanzim edilip edilmediği hususlarında dış temsilciliğin onayının alınması gerektiği,</w:t>
            </w:r>
          </w:p>
          <w:p w:rsidR="001C5F27" w:rsidRPr="001C5F27" w:rsidRDefault="001C5F27" w:rsidP="001C5F27">
            <w:pPr>
              <w:pStyle w:val="style6"/>
              <w:spacing w:before="0" w:beforeAutospacing="0" w:after="0" w:afterAutospacing="0"/>
              <w:ind w:firstLine="426"/>
              <w:jc w:val="both"/>
            </w:pPr>
            <w:proofErr w:type="gramStart"/>
            <w:r w:rsidRPr="001C5F27">
              <w:rPr>
                <w:rStyle w:val="fontstyle14"/>
              </w:rPr>
              <w:t>mütalaa</w:t>
            </w:r>
            <w:proofErr w:type="gramEnd"/>
            <w:r w:rsidRPr="001C5F27">
              <w:rPr>
                <w:rStyle w:val="fontstyle14"/>
              </w:rPr>
              <w:t xml:space="preserve"> edilmektedir. </w:t>
            </w:r>
          </w:p>
          <w:p w:rsidR="001C5F27" w:rsidRPr="001C5F27" w:rsidRDefault="001C5F27" w:rsidP="001C5F27">
            <w:pPr>
              <w:pStyle w:val="nor"/>
              <w:spacing w:before="0" w:beforeAutospacing="0" w:after="0" w:afterAutospacing="0"/>
              <w:ind w:firstLine="426"/>
              <w:jc w:val="both"/>
            </w:pPr>
          </w:p>
          <w:p w:rsidR="001C5F27" w:rsidRPr="001C5F27" w:rsidRDefault="001C5F27" w:rsidP="001C5F27">
            <w:pPr>
              <w:rPr>
                <w:sz w:val="24"/>
                <w:szCs w:val="24"/>
              </w:rPr>
            </w:pPr>
          </w:p>
          <w:p w:rsidR="001C5F27" w:rsidRDefault="001C5F27" w:rsidP="001C5F27">
            <w:pPr>
              <w:pStyle w:val="nor1"/>
              <w:spacing w:before="0" w:beforeAutospacing="0" w:after="0" w:afterAutospacing="0"/>
              <w:jc w:val="both"/>
              <w:rPr>
                <w:b/>
              </w:rPr>
            </w:pPr>
          </w:p>
        </w:tc>
      </w:tr>
    </w:tbl>
    <w:p w:rsidR="001C5F27" w:rsidRPr="001C5F27" w:rsidRDefault="001C5F27" w:rsidP="001C5F27">
      <w:pPr>
        <w:pStyle w:val="nor1"/>
        <w:spacing w:before="0" w:beforeAutospacing="0" w:after="0" w:afterAutospacing="0"/>
        <w:ind w:firstLine="426"/>
        <w:jc w:val="both"/>
        <w:rPr>
          <w:b/>
        </w:rPr>
      </w:pPr>
    </w:p>
    <w:p w:rsidR="001C5F27" w:rsidRPr="001C5F27" w:rsidRDefault="001C5F27" w:rsidP="001C5F27">
      <w:pPr>
        <w:pStyle w:val="nor1"/>
        <w:spacing w:before="0" w:beforeAutospacing="0" w:after="0" w:afterAutospacing="0"/>
        <w:ind w:firstLine="426"/>
        <w:jc w:val="both"/>
      </w:pPr>
    </w:p>
    <w:sectPr w:rsidR="001C5F27" w:rsidRPr="001C5F27" w:rsidSect="00090D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5F27"/>
    <w:rsid w:val="00090DFD"/>
    <w:rsid w:val="001C5F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27"/>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1">
    <w:name w:val="nor1"/>
    <w:basedOn w:val="Normal"/>
    <w:uiPriority w:val="99"/>
    <w:rsid w:val="001C5F27"/>
    <w:pPr>
      <w:spacing w:before="100" w:beforeAutospacing="1" w:after="100" w:afterAutospacing="1" w:line="240" w:lineRule="auto"/>
    </w:pPr>
    <w:rPr>
      <w:rFonts w:ascii="Times New Roman" w:hAnsi="Times New Roman"/>
      <w:sz w:val="24"/>
      <w:szCs w:val="24"/>
    </w:rPr>
  </w:style>
  <w:style w:type="paragraph" w:customStyle="1" w:styleId="nor">
    <w:name w:val="nor"/>
    <w:basedOn w:val="Normal"/>
    <w:uiPriority w:val="99"/>
    <w:rsid w:val="001C5F27"/>
    <w:pPr>
      <w:spacing w:before="100" w:beforeAutospacing="1" w:after="100" w:afterAutospacing="1" w:line="240" w:lineRule="auto"/>
    </w:pPr>
    <w:rPr>
      <w:rFonts w:ascii="Times New Roman" w:hAnsi="Times New Roman"/>
      <w:sz w:val="24"/>
      <w:szCs w:val="24"/>
    </w:rPr>
  </w:style>
  <w:style w:type="paragraph" w:customStyle="1" w:styleId="style6">
    <w:name w:val="style6"/>
    <w:basedOn w:val="Normal"/>
    <w:uiPriority w:val="99"/>
    <w:rsid w:val="001C5F27"/>
    <w:pPr>
      <w:spacing w:before="100" w:beforeAutospacing="1" w:after="100" w:afterAutospacing="1" w:line="240" w:lineRule="auto"/>
    </w:pPr>
    <w:rPr>
      <w:rFonts w:ascii="Times New Roman" w:hAnsi="Times New Roman"/>
      <w:sz w:val="24"/>
      <w:szCs w:val="24"/>
    </w:rPr>
  </w:style>
  <w:style w:type="paragraph" w:customStyle="1" w:styleId="style4">
    <w:name w:val="style4"/>
    <w:basedOn w:val="Normal"/>
    <w:uiPriority w:val="99"/>
    <w:rsid w:val="001C5F27"/>
    <w:pPr>
      <w:spacing w:before="100" w:beforeAutospacing="1" w:after="100" w:afterAutospacing="1" w:line="240" w:lineRule="auto"/>
    </w:pPr>
    <w:rPr>
      <w:rFonts w:ascii="Times New Roman" w:hAnsi="Times New Roman"/>
      <w:sz w:val="24"/>
      <w:szCs w:val="24"/>
    </w:rPr>
  </w:style>
  <w:style w:type="character" w:customStyle="1" w:styleId="fontstyle14">
    <w:name w:val="fontstyle14"/>
    <w:basedOn w:val="VarsaylanParagrafYazTipi"/>
    <w:uiPriority w:val="99"/>
    <w:rsid w:val="001C5F27"/>
    <w:rPr>
      <w:rFonts w:cs="Times New Roman"/>
    </w:rPr>
  </w:style>
  <w:style w:type="paragraph" w:customStyle="1" w:styleId="Style60">
    <w:name w:val="Style6"/>
    <w:basedOn w:val="Normal"/>
    <w:uiPriority w:val="99"/>
    <w:rsid w:val="001C5F27"/>
    <w:pPr>
      <w:widowControl w:val="0"/>
      <w:autoSpaceDE w:val="0"/>
      <w:autoSpaceDN w:val="0"/>
      <w:adjustRightInd w:val="0"/>
      <w:spacing w:after="0" w:line="274" w:lineRule="exact"/>
      <w:ind w:firstLine="557"/>
      <w:jc w:val="both"/>
    </w:pPr>
    <w:rPr>
      <w:rFonts w:ascii="Times New Roman" w:hAnsi="Times New Roman"/>
      <w:sz w:val="24"/>
      <w:szCs w:val="24"/>
    </w:rPr>
  </w:style>
  <w:style w:type="character" w:customStyle="1" w:styleId="FontStyle140">
    <w:name w:val="Font Style14"/>
    <w:basedOn w:val="VarsaylanParagrafYazTipi"/>
    <w:uiPriority w:val="99"/>
    <w:rsid w:val="001C5F27"/>
    <w:rPr>
      <w:rFonts w:ascii="Times New Roman" w:hAnsi="Times New Roman" w:cs="Times New Roman"/>
      <w:sz w:val="16"/>
      <w:szCs w:val="16"/>
    </w:rPr>
  </w:style>
  <w:style w:type="table" w:styleId="TabloKlavuzu">
    <w:name w:val="Table Grid"/>
    <w:basedOn w:val="NormalTablo"/>
    <w:uiPriority w:val="59"/>
    <w:rsid w:val="001C5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2013-08-21T11:21:00Z</dcterms:created>
  <dcterms:modified xsi:type="dcterms:W3CDTF">2013-08-21T11:31:00Z</dcterms:modified>
</cp:coreProperties>
</file>